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CCBC" w14:textId="37536ABB" w:rsidR="0034204C" w:rsidRPr="00BF4956" w:rsidRDefault="00910258" w:rsidP="00EE4B26">
      <w:pPr>
        <w:jc w:val="center"/>
        <w:rPr>
          <w:rFonts w:ascii="Arial" w:hAnsi="Arial" w:cs="Arial"/>
          <w:b/>
          <w:bCs/>
        </w:rPr>
      </w:pPr>
      <w:r w:rsidRPr="00BF4956">
        <w:rPr>
          <w:rFonts w:ascii="Arial" w:hAnsi="Arial" w:cs="Arial"/>
          <w:b/>
          <w:bCs/>
        </w:rPr>
        <w:t>Criteria</w:t>
      </w:r>
      <w:r w:rsidR="0034204C" w:rsidRPr="00BF4956">
        <w:rPr>
          <w:rFonts w:ascii="Arial" w:hAnsi="Arial" w:cs="Arial"/>
          <w:b/>
          <w:bCs/>
        </w:rPr>
        <w:t xml:space="preserve"> for Validating Job </w:t>
      </w:r>
      <w:r w:rsidR="00940408" w:rsidRPr="00BF4956">
        <w:rPr>
          <w:rFonts w:ascii="Arial" w:hAnsi="Arial" w:cs="Arial"/>
          <w:b/>
          <w:bCs/>
        </w:rPr>
        <w:t>Positions</w:t>
      </w:r>
      <w:r w:rsidR="0034204C" w:rsidRPr="00BF4956">
        <w:rPr>
          <w:rFonts w:ascii="Arial" w:hAnsi="Arial" w:cs="Arial"/>
          <w:b/>
          <w:bCs/>
        </w:rPr>
        <w:t xml:space="preserve"> for </w:t>
      </w:r>
      <w:r w:rsidR="00D00A0E" w:rsidRPr="00BF4956">
        <w:rPr>
          <w:rFonts w:ascii="Arial" w:hAnsi="Arial" w:cs="Arial"/>
          <w:b/>
          <w:bCs/>
        </w:rPr>
        <w:t>Systematic Approach to Training (</w:t>
      </w:r>
      <w:r w:rsidR="0034204C" w:rsidRPr="00BF4956">
        <w:rPr>
          <w:rFonts w:ascii="Arial" w:hAnsi="Arial" w:cs="Arial"/>
          <w:b/>
          <w:bCs/>
        </w:rPr>
        <w:t>SAT</w:t>
      </w:r>
      <w:r w:rsidR="00D00A0E" w:rsidRPr="00BF4956">
        <w:rPr>
          <w:rFonts w:ascii="Arial" w:hAnsi="Arial" w:cs="Arial"/>
          <w:b/>
          <w:bCs/>
        </w:rPr>
        <w:t>)</w:t>
      </w:r>
    </w:p>
    <w:p w14:paraId="2AEBFE0F" w14:textId="2FE45D29" w:rsidR="001C125C" w:rsidRPr="00BF4956" w:rsidRDefault="001C125C" w:rsidP="00595E6F">
      <w:pPr>
        <w:rPr>
          <w:rFonts w:ascii="Arial" w:hAnsi="Arial" w:cs="Arial"/>
          <w:b/>
          <w:bCs/>
        </w:rPr>
      </w:pPr>
      <w:r w:rsidRPr="00BF4956">
        <w:rPr>
          <w:rFonts w:ascii="Arial" w:hAnsi="Arial" w:cs="Arial"/>
          <w:b/>
          <w:bCs/>
        </w:rPr>
        <w:t>Overview</w:t>
      </w:r>
    </w:p>
    <w:p w14:paraId="0CF62EAD" w14:textId="0B3FD571" w:rsidR="00595E6F" w:rsidRPr="00BF4956" w:rsidRDefault="00213FB3" w:rsidP="00595E6F">
      <w:pPr>
        <w:rPr>
          <w:rFonts w:ascii="Arial" w:hAnsi="Arial" w:cs="Arial"/>
        </w:rPr>
      </w:pPr>
      <w:r w:rsidRPr="00BF4956">
        <w:rPr>
          <w:rFonts w:ascii="Arial" w:hAnsi="Arial" w:cs="Arial"/>
        </w:rPr>
        <w:t>F</w:t>
      </w:r>
      <w:r w:rsidR="00C951BB" w:rsidRPr="00BF4956">
        <w:rPr>
          <w:rFonts w:ascii="Arial" w:hAnsi="Arial" w:cs="Arial"/>
        </w:rPr>
        <w:t>ollowing</w:t>
      </w:r>
      <w:r w:rsidR="008247B5" w:rsidRPr="00BF4956">
        <w:rPr>
          <w:rFonts w:ascii="Arial" w:hAnsi="Arial" w:cs="Arial"/>
        </w:rPr>
        <w:t xml:space="preserve"> </w:t>
      </w:r>
      <w:r w:rsidR="009F26FD" w:rsidRPr="00BF4956">
        <w:rPr>
          <w:rFonts w:ascii="Arial" w:hAnsi="Arial" w:cs="Arial"/>
        </w:rPr>
        <w:t>criteria</w:t>
      </w:r>
      <w:r w:rsidR="008247B5" w:rsidRPr="00BF4956">
        <w:rPr>
          <w:rFonts w:ascii="Arial" w:hAnsi="Arial" w:cs="Arial"/>
        </w:rPr>
        <w:t xml:space="preserve"> </w:t>
      </w:r>
      <w:r w:rsidR="00C951BB" w:rsidRPr="00BF4956">
        <w:rPr>
          <w:rFonts w:ascii="Arial" w:hAnsi="Arial" w:cs="Arial"/>
        </w:rPr>
        <w:t xml:space="preserve">will be used </w:t>
      </w:r>
      <w:r w:rsidR="008247B5" w:rsidRPr="00BF4956">
        <w:rPr>
          <w:rFonts w:ascii="Arial" w:hAnsi="Arial" w:cs="Arial"/>
        </w:rPr>
        <w:t xml:space="preserve">to </w:t>
      </w:r>
      <w:r w:rsidR="00C951BB" w:rsidRPr="00BF4956">
        <w:rPr>
          <w:rFonts w:ascii="Arial" w:hAnsi="Arial" w:cs="Arial"/>
        </w:rPr>
        <w:t xml:space="preserve">define which TRIUMF positions will </w:t>
      </w:r>
      <w:r w:rsidR="009F26FD" w:rsidRPr="00BF4956">
        <w:rPr>
          <w:rFonts w:ascii="Arial" w:hAnsi="Arial" w:cs="Arial"/>
        </w:rPr>
        <w:t>follow the CNSC SAT methodology.</w:t>
      </w:r>
      <w:r w:rsidR="00B217CE" w:rsidRPr="00BF4956">
        <w:rPr>
          <w:rFonts w:ascii="Arial" w:hAnsi="Arial" w:cs="Arial"/>
        </w:rPr>
        <w:t xml:space="preserve"> </w:t>
      </w:r>
    </w:p>
    <w:p w14:paraId="5DE8FBD6" w14:textId="39022D7B" w:rsidR="0034637F" w:rsidRPr="00BF4956" w:rsidRDefault="00AD6200" w:rsidP="00595E6F">
      <w:pPr>
        <w:rPr>
          <w:rFonts w:ascii="Arial" w:hAnsi="Arial" w:cs="Arial"/>
        </w:rPr>
      </w:pPr>
      <w:r w:rsidRPr="00BF4956">
        <w:rPr>
          <w:rFonts w:ascii="Arial" w:hAnsi="Arial" w:cs="Arial"/>
        </w:rPr>
        <w:t xml:space="preserve">Inputs: </w:t>
      </w:r>
      <w:r w:rsidR="00047E54" w:rsidRPr="00BF4956">
        <w:rPr>
          <w:rFonts w:ascii="Arial" w:hAnsi="Arial" w:cs="Arial"/>
        </w:rPr>
        <w:t xml:space="preserve">Criteria </w:t>
      </w:r>
      <w:r w:rsidR="0025253A" w:rsidRPr="00BF4956">
        <w:rPr>
          <w:rFonts w:ascii="Arial" w:hAnsi="Arial" w:cs="Arial"/>
        </w:rPr>
        <w:t>are</w:t>
      </w:r>
      <w:r w:rsidR="00047E54" w:rsidRPr="00BF4956">
        <w:rPr>
          <w:rFonts w:ascii="Arial" w:hAnsi="Arial" w:cs="Arial"/>
        </w:rPr>
        <w:t xml:space="preserve"> to be applied to a TRIUMF position </w:t>
      </w:r>
      <w:r w:rsidR="00CA3283">
        <w:rPr>
          <w:rFonts w:ascii="Arial" w:hAnsi="Arial" w:cs="Arial"/>
        </w:rPr>
        <w:t xml:space="preserve">by a working group consisting of </w:t>
      </w:r>
      <w:r w:rsidR="00A272F2">
        <w:rPr>
          <w:rFonts w:ascii="Arial" w:hAnsi="Arial" w:cs="Arial"/>
        </w:rPr>
        <w:t xml:space="preserve">a Learning &amp; Development Group representative, </w:t>
      </w:r>
      <w:r w:rsidR="00940408" w:rsidRPr="00BF4956">
        <w:rPr>
          <w:rFonts w:ascii="Arial" w:hAnsi="Arial" w:cs="Arial"/>
        </w:rPr>
        <w:t>the Group Leader or Project Lead</w:t>
      </w:r>
      <w:r w:rsidR="00EE5DD8">
        <w:rPr>
          <w:rFonts w:ascii="Arial" w:hAnsi="Arial" w:cs="Arial"/>
        </w:rPr>
        <w:t xml:space="preserve"> </w:t>
      </w:r>
      <w:r w:rsidR="00784605">
        <w:rPr>
          <w:rFonts w:ascii="Arial" w:hAnsi="Arial" w:cs="Arial"/>
        </w:rPr>
        <w:t>of the position, and an experienced person</w:t>
      </w:r>
      <w:r w:rsidR="00143005">
        <w:rPr>
          <w:rFonts w:ascii="Arial" w:hAnsi="Arial" w:cs="Arial"/>
        </w:rPr>
        <w:t xml:space="preserve"> occupying the position if the Group Leader or Project Lead is not</w:t>
      </w:r>
      <w:r w:rsidR="00BC5908">
        <w:rPr>
          <w:rFonts w:ascii="Arial" w:hAnsi="Arial" w:cs="Arial"/>
        </w:rPr>
        <w:t xml:space="preserve"> familiar with the details of the position</w:t>
      </w:r>
      <w:r w:rsidR="00047E54" w:rsidRPr="00BF4956">
        <w:rPr>
          <w:rFonts w:ascii="Arial" w:hAnsi="Arial" w:cs="Arial"/>
        </w:rPr>
        <w:t>.</w:t>
      </w:r>
    </w:p>
    <w:p w14:paraId="53C07796" w14:textId="56844A6E" w:rsidR="00AD6200" w:rsidRDefault="00AD6200" w:rsidP="00595E6F">
      <w:pPr>
        <w:rPr>
          <w:rFonts w:ascii="Arial" w:hAnsi="Arial" w:cs="Arial"/>
        </w:rPr>
      </w:pPr>
      <w:r w:rsidRPr="00BF4956">
        <w:rPr>
          <w:rFonts w:ascii="Arial" w:hAnsi="Arial" w:cs="Arial"/>
        </w:rPr>
        <w:t>Output: A score to determine if position will be</w:t>
      </w:r>
      <w:r w:rsidR="00213FB3" w:rsidRPr="00BF4956">
        <w:rPr>
          <w:rFonts w:ascii="Arial" w:hAnsi="Arial" w:cs="Arial"/>
        </w:rPr>
        <w:t xml:space="preserve"> SAT.</w:t>
      </w:r>
    </w:p>
    <w:p w14:paraId="4166ABC7" w14:textId="768674E7" w:rsidR="002940A3" w:rsidRPr="00BF4956" w:rsidRDefault="002940A3" w:rsidP="00595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Frequency: </w:t>
      </w:r>
      <w:r w:rsidR="00E556A1">
        <w:rPr>
          <w:rFonts w:ascii="Arial" w:hAnsi="Arial" w:cs="Arial"/>
        </w:rPr>
        <w:t xml:space="preserve">This methodology will be </w:t>
      </w:r>
      <w:r w:rsidR="00B63F44">
        <w:rPr>
          <w:rFonts w:ascii="Arial" w:hAnsi="Arial" w:cs="Arial"/>
        </w:rPr>
        <w:t xml:space="preserve">applied to </w:t>
      </w:r>
      <w:r w:rsidR="00284361">
        <w:rPr>
          <w:rFonts w:ascii="Arial" w:hAnsi="Arial" w:cs="Arial"/>
        </w:rPr>
        <w:t xml:space="preserve">a position </w:t>
      </w:r>
      <w:r w:rsidR="00666672">
        <w:rPr>
          <w:rFonts w:ascii="Arial" w:hAnsi="Arial" w:cs="Arial"/>
        </w:rPr>
        <w:t xml:space="preserve">periodically (every </w:t>
      </w:r>
      <w:r w:rsidR="00480130">
        <w:rPr>
          <w:rFonts w:ascii="Arial" w:hAnsi="Arial" w:cs="Arial"/>
        </w:rPr>
        <w:t>3</w:t>
      </w:r>
      <w:r w:rsidR="00666672">
        <w:rPr>
          <w:rFonts w:ascii="Arial" w:hAnsi="Arial" w:cs="Arial"/>
        </w:rPr>
        <w:t xml:space="preserve"> years)</w:t>
      </w:r>
      <w:r w:rsidR="007861D7">
        <w:rPr>
          <w:rFonts w:ascii="Arial" w:hAnsi="Arial" w:cs="Arial"/>
        </w:rPr>
        <w:t xml:space="preserve"> and immediately </w:t>
      </w:r>
      <w:r w:rsidR="00AE2D04">
        <w:rPr>
          <w:rFonts w:ascii="Arial" w:hAnsi="Arial" w:cs="Arial"/>
        </w:rPr>
        <w:t xml:space="preserve">if there are changes to job/tasks, equipment, </w:t>
      </w:r>
      <w:proofErr w:type="spellStart"/>
      <w:r w:rsidR="00AE2D04">
        <w:rPr>
          <w:rFonts w:ascii="Arial" w:hAnsi="Arial" w:cs="Arial"/>
        </w:rPr>
        <w:t>requlations</w:t>
      </w:r>
      <w:proofErr w:type="spellEnd"/>
      <w:r w:rsidR="00AE2D04">
        <w:rPr>
          <w:rFonts w:ascii="Arial" w:hAnsi="Arial" w:cs="Arial"/>
        </w:rPr>
        <w:t xml:space="preserve">, </w:t>
      </w:r>
      <w:r w:rsidR="00177635">
        <w:rPr>
          <w:rFonts w:ascii="Arial" w:hAnsi="Arial" w:cs="Arial"/>
        </w:rPr>
        <w:t xml:space="preserve">or operating conditions. </w:t>
      </w:r>
    </w:p>
    <w:p w14:paraId="201C4C30" w14:textId="77777777" w:rsidR="00213FB3" w:rsidRPr="00BF4956" w:rsidRDefault="00213FB3" w:rsidP="00595E6F">
      <w:pPr>
        <w:rPr>
          <w:rFonts w:ascii="Arial" w:hAnsi="Arial" w:cs="Arial"/>
        </w:rPr>
      </w:pPr>
    </w:p>
    <w:tbl>
      <w:tblPr>
        <w:tblStyle w:val="TableGrid"/>
        <w:tblW w:w="9487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475"/>
      </w:tblGrid>
      <w:tr w:rsidR="00A323EB" w:rsidRPr="00BF4956" w14:paraId="1041233A" w14:textId="77777777" w:rsidTr="002250FD">
        <w:trPr>
          <w:cantSplit/>
        </w:trPr>
        <w:tc>
          <w:tcPr>
            <w:tcW w:w="9487" w:type="dxa"/>
            <w:gridSpan w:val="4"/>
          </w:tcPr>
          <w:p w14:paraId="2C147B22" w14:textId="77777777" w:rsidR="00A323EB" w:rsidRPr="00BF4956" w:rsidRDefault="00A323EB">
            <w:pPr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Position exposure to hazards</w:t>
            </w:r>
          </w:p>
          <w:p w14:paraId="1899DB4C" w14:textId="77777777" w:rsidR="00137F10" w:rsidRPr="00BF4956" w:rsidRDefault="00137F10">
            <w:pPr>
              <w:rPr>
                <w:rFonts w:ascii="Arial" w:hAnsi="Arial" w:cs="Arial"/>
                <w:b/>
                <w:bCs/>
              </w:rPr>
            </w:pPr>
          </w:p>
          <w:p w14:paraId="3314F33B" w14:textId="0DC57BEA" w:rsidR="000D490A" w:rsidRPr="00BF4956" w:rsidRDefault="000D490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Definitions:</w:t>
            </w:r>
          </w:p>
          <w:p w14:paraId="0F4BD3F8" w14:textId="77777777" w:rsidR="00137F10" w:rsidRPr="00BF4956" w:rsidRDefault="00137F10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Occasional</w:t>
            </w:r>
            <w:r w:rsidR="00B1183C" w:rsidRPr="00BF4956">
              <w:rPr>
                <w:rFonts w:ascii="Arial" w:hAnsi="Arial" w:cs="Arial"/>
              </w:rPr>
              <w:t xml:space="preserve"> (at least monthly)</w:t>
            </w:r>
          </w:p>
          <w:p w14:paraId="63856A05" w14:textId="2C408666" w:rsidR="00B1183C" w:rsidRPr="00BF4956" w:rsidRDefault="00B1183C">
            <w:pPr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</w:rPr>
              <w:t>Frequent (at least weekly)</w:t>
            </w:r>
          </w:p>
        </w:tc>
      </w:tr>
      <w:tr w:rsidR="00B103BA" w:rsidRPr="00BF4956" w14:paraId="0D0B9B95" w14:textId="77777777">
        <w:trPr>
          <w:cantSplit/>
          <w:tblHeader/>
        </w:trPr>
        <w:tc>
          <w:tcPr>
            <w:tcW w:w="2337" w:type="dxa"/>
          </w:tcPr>
          <w:p w14:paraId="4F9745D5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337" w:type="dxa"/>
          </w:tcPr>
          <w:p w14:paraId="795ED697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Low (1)</w:t>
            </w:r>
          </w:p>
        </w:tc>
        <w:tc>
          <w:tcPr>
            <w:tcW w:w="2338" w:type="dxa"/>
          </w:tcPr>
          <w:p w14:paraId="465B535E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Moderate (2)</w:t>
            </w:r>
          </w:p>
        </w:tc>
        <w:tc>
          <w:tcPr>
            <w:tcW w:w="2475" w:type="dxa"/>
          </w:tcPr>
          <w:p w14:paraId="389A285F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High (3)</w:t>
            </w:r>
          </w:p>
        </w:tc>
      </w:tr>
      <w:tr w:rsidR="004B38F3" w:rsidRPr="00BF4956" w14:paraId="6AC3D793" w14:textId="77777777" w:rsidTr="002250FD">
        <w:trPr>
          <w:cantSplit/>
        </w:trPr>
        <w:tc>
          <w:tcPr>
            <w:tcW w:w="2337" w:type="dxa"/>
          </w:tcPr>
          <w:p w14:paraId="52C7B4D6" w14:textId="58150F91" w:rsidR="004B38F3" w:rsidRPr="00BF4956" w:rsidRDefault="4172D60D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Exposure to radiation hazards</w:t>
            </w:r>
          </w:p>
        </w:tc>
        <w:tc>
          <w:tcPr>
            <w:tcW w:w="2337" w:type="dxa"/>
          </w:tcPr>
          <w:p w14:paraId="52714BE9" w14:textId="06AECF21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No exposure to radiation in normal duties</w:t>
            </w:r>
          </w:p>
        </w:tc>
        <w:tc>
          <w:tcPr>
            <w:tcW w:w="2338" w:type="dxa"/>
          </w:tcPr>
          <w:p w14:paraId="5F79FF23" w14:textId="75659ED4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Occasional exposure; works in controlled areas with PPE</w:t>
            </w:r>
          </w:p>
        </w:tc>
        <w:tc>
          <w:tcPr>
            <w:tcW w:w="2475" w:type="dxa"/>
          </w:tcPr>
          <w:p w14:paraId="663DC538" w14:textId="480F8708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Frequent exposure; works with radiation sources or monitoring</w:t>
            </w:r>
          </w:p>
        </w:tc>
      </w:tr>
      <w:tr w:rsidR="004B38F3" w:rsidRPr="00BF4956" w14:paraId="5CC1D6CC" w14:textId="77777777" w:rsidTr="002250FD">
        <w:trPr>
          <w:cantSplit/>
        </w:trPr>
        <w:tc>
          <w:tcPr>
            <w:tcW w:w="2337" w:type="dxa"/>
          </w:tcPr>
          <w:p w14:paraId="34BE993A" w14:textId="7777777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Exposure to OH&amp;S hazards</w:t>
            </w:r>
          </w:p>
          <w:p w14:paraId="6C817AA9" w14:textId="77777777" w:rsidR="00EA58A5" w:rsidRPr="00BF4956" w:rsidRDefault="00EA58A5">
            <w:pPr>
              <w:rPr>
                <w:rFonts w:ascii="Arial" w:hAnsi="Arial" w:cs="Arial"/>
              </w:rPr>
            </w:pPr>
          </w:p>
          <w:p w14:paraId="76320142" w14:textId="10CB3EA7" w:rsidR="00EA58A5" w:rsidRPr="00BF4956" w:rsidRDefault="0043069C">
            <w:pPr>
              <w:rPr>
                <w:rFonts w:ascii="Arial" w:hAnsi="Arial" w:cs="Arial"/>
              </w:rPr>
            </w:pPr>
            <w:r w:rsidRPr="00BC353A">
              <w:rPr>
                <w:rFonts w:ascii="Arial" w:hAnsi="Arial" w:cs="Arial"/>
              </w:rPr>
              <w:t>(e.g. physical hazards such as physical trauma, impact, suffocation, extreme temperature, lifting, working at heights, confined spaces, machinery, high voltage)</w:t>
            </w:r>
          </w:p>
        </w:tc>
        <w:tc>
          <w:tcPr>
            <w:tcW w:w="2337" w:type="dxa"/>
          </w:tcPr>
          <w:p w14:paraId="77673F87" w14:textId="2CD49328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Office-based or low-risk environment; minimal physical hazards</w:t>
            </w:r>
          </w:p>
        </w:tc>
        <w:tc>
          <w:tcPr>
            <w:tcW w:w="2338" w:type="dxa"/>
          </w:tcPr>
          <w:p w14:paraId="4EFD164D" w14:textId="20790BC6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 xml:space="preserve">Performs tasks with some physical or ergonomic risks </w:t>
            </w:r>
          </w:p>
        </w:tc>
        <w:tc>
          <w:tcPr>
            <w:tcW w:w="2475" w:type="dxa"/>
          </w:tcPr>
          <w:p w14:paraId="5E4D7657" w14:textId="7F209820" w:rsidR="004B38F3" w:rsidRPr="00BF4956" w:rsidRDefault="00783146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Frequent</w:t>
            </w:r>
            <w:r w:rsidR="005C0FFA" w:rsidRPr="00BF4956">
              <w:rPr>
                <w:rFonts w:ascii="Arial" w:hAnsi="Arial" w:cs="Arial"/>
              </w:rPr>
              <w:t xml:space="preserve"> exposure to significant OH&amp;S risks </w:t>
            </w:r>
          </w:p>
        </w:tc>
      </w:tr>
      <w:tr w:rsidR="004B38F3" w:rsidRPr="00BF4956" w14:paraId="0E203FE2" w14:textId="77777777" w:rsidTr="002250FD">
        <w:trPr>
          <w:cantSplit/>
        </w:trPr>
        <w:tc>
          <w:tcPr>
            <w:tcW w:w="2337" w:type="dxa"/>
          </w:tcPr>
          <w:p w14:paraId="329FD931" w14:textId="7777777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Exposure to Industrial Hygiene hazards</w:t>
            </w:r>
          </w:p>
          <w:p w14:paraId="183B8CFD" w14:textId="77777777" w:rsidR="000E0DC0" w:rsidRPr="00BF4956" w:rsidRDefault="000E0DC0">
            <w:pPr>
              <w:rPr>
                <w:rFonts w:ascii="Arial" w:hAnsi="Arial" w:cs="Arial"/>
              </w:rPr>
            </w:pPr>
          </w:p>
          <w:p w14:paraId="135A3F3B" w14:textId="3CADE99F" w:rsidR="000E0DC0" w:rsidRPr="00BF4956" w:rsidRDefault="00671B07">
            <w:pPr>
              <w:rPr>
                <w:rFonts w:ascii="Arial" w:hAnsi="Arial" w:cs="Arial"/>
              </w:rPr>
            </w:pPr>
            <w:r w:rsidRPr="00BC353A">
              <w:rPr>
                <w:rFonts w:ascii="Arial" w:hAnsi="Arial" w:cs="Arial"/>
              </w:rPr>
              <w:t>(e.g. repetitive motion, awkward postures, dust, asbestos, and other chemical agents)</w:t>
            </w:r>
          </w:p>
        </w:tc>
        <w:tc>
          <w:tcPr>
            <w:tcW w:w="2337" w:type="dxa"/>
          </w:tcPr>
          <w:p w14:paraId="08387C39" w14:textId="47F9EEBA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No exposure to industrial hygiene hazards</w:t>
            </w:r>
          </w:p>
        </w:tc>
        <w:tc>
          <w:tcPr>
            <w:tcW w:w="2338" w:type="dxa"/>
          </w:tcPr>
          <w:p w14:paraId="7A025C9D" w14:textId="39058265" w:rsidR="004B38F3" w:rsidRPr="00BF4956" w:rsidRDefault="0025539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Occasional</w:t>
            </w:r>
            <w:r w:rsidR="005C0FFA" w:rsidRPr="00BF4956">
              <w:rPr>
                <w:rFonts w:ascii="Arial" w:hAnsi="Arial" w:cs="Arial"/>
              </w:rPr>
              <w:t xml:space="preserve"> exposure; PPE or controls in place</w:t>
            </w:r>
          </w:p>
        </w:tc>
        <w:tc>
          <w:tcPr>
            <w:tcW w:w="2475" w:type="dxa"/>
          </w:tcPr>
          <w:p w14:paraId="47A7DEEF" w14:textId="6F3B47B4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Frequent exposure</w:t>
            </w:r>
          </w:p>
        </w:tc>
      </w:tr>
      <w:tr w:rsidR="004B38F3" w:rsidRPr="00BF4956" w14:paraId="5094EF6B" w14:textId="77777777" w:rsidTr="002250FD">
        <w:trPr>
          <w:cantSplit/>
        </w:trPr>
        <w:tc>
          <w:tcPr>
            <w:tcW w:w="2337" w:type="dxa"/>
          </w:tcPr>
          <w:p w14:paraId="27CE7FDD" w14:textId="7777777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lastRenderedPageBreak/>
              <w:t>Exposure to environmental hazards</w:t>
            </w:r>
          </w:p>
          <w:p w14:paraId="3E2F8936" w14:textId="77777777" w:rsidR="002E7AB3" w:rsidRPr="00BF4956" w:rsidRDefault="002E7AB3">
            <w:pPr>
              <w:rPr>
                <w:rFonts w:ascii="Arial" w:hAnsi="Arial" w:cs="Arial"/>
              </w:rPr>
            </w:pPr>
          </w:p>
          <w:p w14:paraId="063F7867" w14:textId="1C5E2E91" w:rsidR="002E7AB3" w:rsidRPr="00BF4956" w:rsidRDefault="00C75D41">
            <w:pPr>
              <w:rPr>
                <w:rFonts w:ascii="Arial" w:hAnsi="Arial" w:cs="Arial"/>
              </w:rPr>
            </w:pPr>
            <w:r w:rsidRPr="00BC353A">
              <w:rPr>
                <w:rFonts w:ascii="Arial" w:hAnsi="Arial" w:cs="Arial"/>
              </w:rPr>
              <w:t>(e.g. noise, poor indoor air quality, lack of ventilation, Moulds and Fungi, hazardous waste, emissions, or high environmental impact materials)</w:t>
            </w:r>
          </w:p>
        </w:tc>
        <w:tc>
          <w:tcPr>
            <w:tcW w:w="2337" w:type="dxa"/>
          </w:tcPr>
          <w:p w14:paraId="4BFABCD7" w14:textId="04B8B4A9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No contact with environmental risks</w:t>
            </w:r>
          </w:p>
        </w:tc>
        <w:tc>
          <w:tcPr>
            <w:tcW w:w="2338" w:type="dxa"/>
          </w:tcPr>
          <w:p w14:paraId="6D2B7180" w14:textId="579BE03F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 xml:space="preserve">Occasional interaction </w:t>
            </w:r>
          </w:p>
        </w:tc>
        <w:tc>
          <w:tcPr>
            <w:tcW w:w="2475" w:type="dxa"/>
          </w:tcPr>
          <w:p w14:paraId="36AE1CD5" w14:textId="43951295" w:rsidR="004B38F3" w:rsidRPr="00BF4956" w:rsidRDefault="0025539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Frequent</w:t>
            </w:r>
            <w:r w:rsidR="005C0FFA" w:rsidRPr="00BF4956">
              <w:rPr>
                <w:rFonts w:ascii="Arial" w:hAnsi="Arial" w:cs="Arial"/>
              </w:rPr>
              <w:t xml:space="preserve"> handling</w:t>
            </w:r>
            <w:r w:rsidR="00E1499D" w:rsidRPr="00BF4956">
              <w:rPr>
                <w:rFonts w:ascii="Arial" w:hAnsi="Arial" w:cs="Arial"/>
              </w:rPr>
              <w:t>, interaction, or contact</w:t>
            </w:r>
          </w:p>
        </w:tc>
      </w:tr>
      <w:tr w:rsidR="00D31498" w:rsidRPr="00BF4956" w14:paraId="42472198" w14:textId="77777777" w:rsidTr="002250FD">
        <w:trPr>
          <w:cantSplit/>
        </w:trPr>
        <w:tc>
          <w:tcPr>
            <w:tcW w:w="9487" w:type="dxa"/>
            <w:gridSpan w:val="4"/>
          </w:tcPr>
          <w:p w14:paraId="71D22474" w14:textId="77777777" w:rsidR="00D31498" w:rsidRPr="00BF4956" w:rsidRDefault="00D31498">
            <w:pPr>
              <w:rPr>
                <w:rFonts w:ascii="Arial" w:hAnsi="Arial" w:cs="Arial"/>
                <w:i/>
                <w:iCs/>
              </w:rPr>
            </w:pPr>
            <w:r w:rsidRPr="00BF4956">
              <w:rPr>
                <w:rFonts w:ascii="Arial" w:hAnsi="Arial" w:cs="Arial"/>
                <w:b/>
                <w:bCs/>
              </w:rPr>
              <w:t xml:space="preserve">Position consequence of error: </w:t>
            </w:r>
            <w:r w:rsidRPr="00BF4956">
              <w:rPr>
                <w:rFonts w:ascii="Arial" w:hAnsi="Arial" w:cs="Arial"/>
                <w:i/>
                <w:iCs/>
              </w:rPr>
              <w:t>“Positions where the consequence of human error poses a risk to the environment, the health and safety of persons, or to the security of the nuclear facilities and of nuclear substances” will be under SAT.</w:t>
            </w:r>
          </w:p>
          <w:p w14:paraId="527EEAF7" w14:textId="77777777" w:rsidR="003A5030" w:rsidRPr="00BF4956" w:rsidRDefault="003A5030">
            <w:pPr>
              <w:rPr>
                <w:rFonts w:ascii="Arial" w:hAnsi="Arial" w:cs="Arial"/>
                <w:i/>
                <w:iCs/>
              </w:rPr>
            </w:pPr>
          </w:p>
          <w:p w14:paraId="6A08DE98" w14:textId="77777777" w:rsidR="003A5030" w:rsidRPr="00BF4956" w:rsidRDefault="003A5030" w:rsidP="003A5030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Definitions:</w:t>
            </w:r>
          </w:p>
          <w:p w14:paraId="71505764" w14:textId="59F21998" w:rsidR="003A5030" w:rsidRPr="00BF4956" w:rsidRDefault="0053393B" w:rsidP="003A5030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Minor, mild, or limited effects (</w:t>
            </w:r>
            <w:r w:rsidR="002E24B2" w:rsidRPr="00BF4956">
              <w:rPr>
                <w:rFonts w:ascii="Arial" w:hAnsi="Arial" w:cs="Arial"/>
              </w:rPr>
              <w:t>while there are undesirable effects, these are generally negligible</w:t>
            </w:r>
            <w:r w:rsidR="00B93357" w:rsidRPr="00BF4956">
              <w:rPr>
                <w:rFonts w:ascii="Arial" w:hAnsi="Arial" w:cs="Arial"/>
              </w:rPr>
              <w:t xml:space="preserve"> or small scale)</w:t>
            </w:r>
          </w:p>
          <w:p w14:paraId="286192BD" w14:textId="0430F1E8" w:rsidR="003A5030" w:rsidRPr="00BF4956" w:rsidRDefault="00B93357" w:rsidP="003A5030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Significant or serious effects</w:t>
            </w:r>
            <w:r w:rsidR="003A5030" w:rsidRPr="00BF4956">
              <w:rPr>
                <w:rFonts w:ascii="Arial" w:hAnsi="Arial" w:cs="Arial"/>
              </w:rPr>
              <w:t xml:space="preserve"> (</w:t>
            </w:r>
            <w:r w:rsidR="002250FD" w:rsidRPr="00BF4956">
              <w:rPr>
                <w:rFonts w:ascii="Arial" w:hAnsi="Arial" w:cs="Arial"/>
              </w:rPr>
              <w:t>non-negligible, large-scale, or severe effects</w:t>
            </w:r>
            <w:r w:rsidR="003A5030" w:rsidRPr="00BF4956">
              <w:rPr>
                <w:rFonts w:ascii="Arial" w:hAnsi="Arial" w:cs="Arial"/>
              </w:rPr>
              <w:t>)</w:t>
            </w:r>
          </w:p>
        </w:tc>
      </w:tr>
      <w:tr w:rsidR="00B103BA" w:rsidRPr="00BF4956" w14:paraId="061FF4BF" w14:textId="77777777">
        <w:trPr>
          <w:cantSplit/>
          <w:tblHeader/>
        </w:trPr>
        <w:tc>
          <w:tcPr>
            <w:tcW w:w="2337" w:type="dxa"/>
          </w:tcPr>
          <w:p w14:paraId="15669910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337" w:type="dxa"/>
          </w:tcPr>
          <w:p w14:paraId="1C0AC691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Low (1)</w:t>
            </w:r>
          </w:p>
        </w:tc>
        <w:tc>
          <w:tcPr>
            <w:tcW w:w="2338" w:type="dxa"/>
          </w:tcPr>
          <w:p w14:paraId="647074A7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Moderate (2)</w:t>
            </w:r>
          </w:p>
        </w:tc>
        <w:tc>
          <w:tcPr>
            <w:tcW w:w="2475" w:type="dxa"/>
          </w:tcPr>
          <w:p w14:paraId="49380B8D" w14:textId="77777777" w:rsidR="00B103BA" w:rsidRPr="00BF4956" w:rsidRDefault="00B103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High (3)</w:t>
            </w:r>
          </w:p>
        </w:tc>
      </w:tr>
      <w:tr w:rsidR="004B38F3" w:rsidRPr="00BF4956" w14:paraId="292489FC" w14:textId="77777777" w:rsidTr="002250FD">
        <w:trPr>
          <w:cantSplit/>
        </w:trPr>
        <w:tc>
          <w:tcPr>
            <w:tcW w:w="2337" w:type="dxa"/>
          </w:tcPr>
          <w:p w14:paraId="55ACBADE" w14:textId="77777777" w:rsidR="004B38F3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Job errors can pose a risk to environment</w:t>
            </w:r>
          </w:p>
          <w:p w14:paraId="65864316" w14:textId="77777777" w:rsidR="00A43FD0" w:rsidRDefault="00A43FD0">
            <w:pPr>
              <w:rPr>
                <w:rFonts w:ascii="Arial" w:hAnsi="Arial" w:cs="Arial"/>
              </w:rPr>
            </w:pPr>
          </w:p>
          <w:p w14:paraId="7CB1C61E" w14:textId="6AC88C0A" w:rsidR="00A43FD0" w:rsidRPr="00BF4956" w:rsidRDefault="00A43FD0">
            <w:pPr>
              <w:rPr>
                <w:rFonts w:ascii="Arial" w:hAnsi="Arial" w:cs="Arial"/>
              </w:rPr>
            </w:pPr>
            <w:r w:rsidRPr="00BC353A">
              <w:rPr>
                <w:rFonts w:ascii="Arial" w:hAnsi="Arial" w:cs="Arial"/>
              </w:rPr>
              <w:t>(e.g. waste material, open source, liquid chemical)</w:t>
            </w:r>
          </w:p>
        </w:tc>
        <w:tc>
          <w:tcPr>
            <w:tcW w:w="2337" w:type="dxa"/>
          </w:tcPr>
          <w:p w14:paraId="4B0A5C77" w14:textId="424A5C75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have negligible environmental impact</w:t>
            </w:r>
          </w:p>
        </w:tc>
        <w:tc>
          <w:tcPr>
            <w:tcW w:w="2338" w:type="dxa"/>
          </w:tcPr>
          <w:p w14:paraId="678A2CE6" w14:textId="539F906B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may lead to minor spills, emissions, or non-compliance</w:t>
            </w:r>
          </w:p>
        </w:tc>
        <w:tc>
          <w:tcPr>
            <w:tcW w:w="2475" w:type="dxa"/>
          </w:tcPr>
          <w:p w14:paraId="3AE9746F" w14:textId="29004FC5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can result in significant environmental damage, violations, or reputational risk</w:t>
            </w:r>
          </w:p>
        </w:tc>
      </w:tr>
      <w:tr w:rsidR="004B38F3" w:rsidRPr="00BF4956" w14:paraId="187B016C" w14:textId="77777777" w:rsidTr="002250FD">
        <w:trPr>
          <w:cantSplit/>
        </w:trPr>
        <w:tc>
          <w:tcPr>
            <w:tcW w:w="2337" w:type="dxa"/>
          </w:tcPr>
          <w:p w14:paraId="2C16CF91" w14:textId="7777777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Job errors can pose a risk to health of personnel</w:t>
            </w:r>
          </w:p>
          <w:p w14:paraId="38C16752" w14:textId="77777777" w:rsidR="008244E7" w:rsidRPr="00BF4956" w:rsidRDefault="008244E7">
            <w:pPr>
              <w:rPr>
                <w:rFonts w:ascii="Arial" w:hAnsi="Arial" w:cs="Arial"/>
              </w:rPr>
            </w:pPr>
          </w:p>
          <w:p w14:paraId="79CE6335" w14:textId="531D9B74" w:rsidR="00074DD5" w:rsidRPr="00BF4956" w:rsidRDefault="00E93992">
            <w:pPr>
              <w:rPr>
                <w:rFonts w:ascii="Arial" w:hAnsi="Arial" w:cs="Arial"/>
              </w:rPr>
            </w:pPr>
            <w:r w:rsidRPr="00BC353A">
              <w:rPr>
                <w:rFonts w:ascii="Arial" w:hAnsi="Arial" w:cs="Arial"/>
              </w:rPr>
              <w:t>(e.g. illness, high dose exposure, gas leak)</w:t>
            </w:r>
          </w:p>
        </w:tc>
        <w:tc>
          <w:tcPr>
            <w:tcW w:w="2337" w:type="dxa"/>
          </w:tcPr>
          <w:p w14:paraId="7DC0E036" w14:textId="4A9AC992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unlikely to affect health of others</w:t>
            </w:r>
            <w:r w:rsidR="007F59C1">
              <w:rPr>
                <w:rFonts w:ascii="Arial" w:hAnsi="Arial" w:cs="Arial"/>
              </w:rPr>
              <w:t>/</w:t>
            </w:r>
            <w:r w:rsidR="004C5194">
              <w:rPr>
                <w:rFonts w:ascii="Arial" w:hAnsi="Arial" w:cs="Arial"/>
              </w:rPr>
              <w:t>oneself</w:t>
            </w:r>
          </w:p>
        </w:tc>
        <w:tc>
          <w:tcPr>
            <w:tcW w:w="2338" w:type="dxa"/>
          </w:tcPr>
          <w:p w14:paraId="6B667079" w14:textId="45DC0E50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may lead to mild or reversible health impacts</w:t>
            </w:r>
          </w:p>
        </w:tc>
        <w:tc>
          <w:tcPr>
            <w:tcW w:w="2475" w:type="dxa"/>
          </w:tcPr>
          <w:p w14:paraId="53F5D1B5" w14:textId="5CA0A604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could cause serious illness, long-term health issues, or exposure to toxic substances</w:t>
            </w:r>
          </w:p>
        </w:tc>
      </w:tr>
      <w:tr w:rsidR="004B38F3" w:rsidRPr="00BF4956" w14:paraId="5ACCA03A" w14:textId="77777777" w:rsidTr="002250FD">
        <w:trPr>
          <w:cantSplit/>
        </w:trPr>
        <w:tc>
          <w:tcPr>
            <w:tcW w:w="2337" w:type="dxa"/>
          </w:tcPr>
          <w:p w14:paraId="59E5333B" w14:textId="7777777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Job errors can pose a risk to safety of personnel</w:t>
            </w:r>
          </w:p>
          <w:p w14:paraId="5F6EF2E5" w14:textId="77777777" w:rsidR="008244E7" w:rsidRPr="00BF4956" w:rsidRDefault="008244E7">
            <w:pPr>
              <w:rPr>
                <w:rFonts w:ascii="Arial" w:hAnsi="Arial" w:cs="Arial"/>
              </w:rPr>
            </w:pPr>
          </w:p>
          <w:p w14:paraId="41F23898" w14:textId="714122BB" w:rsidR="00503765" w:rsidRPr="00BF4956" w:rsidRDefault="00CE02A8">
            <w:pPr>
              <w:rPr>
                <w:rFonts w:ascii="Arial" w:hAnsi="Arial" w:cs="Arial"/>
              </w:rPr>
            </w:pPr>
            <w:r w:rsidRPr="00BC353A">
              <w:rPr>
                <w:rFonts w:ascii="Arial" w:hAnsi="Arial" w:cs="Arial"/>
              </w:rPr>
              <w:t>(e.g. physical or immediate impact, high energy laser, forklift, crane)</w:t>
            </w:r>
          </w:p>
        </w:tc>
        <w:tc>
          <w:tcPr>
            <w:tcW w:w="2337" w:type="dxa"/>
          </w:tcPr>
          <w:p w14:paraId="0471E714" w14:textId="6940B21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have no safety consequences</w:t>
            </w:r>
            <w:r w:rsidR="00133939" w:rsidRPr="00BF4956">
              <w:rPr>
                <w:rFonts w:ascii="Arial" w:hAnsi="Arial" w:cs="Arial"/>
              </w:rPr>
              <w:t xml:space="preserve"> to others</w:t>
            </w:r>
            <w:r w:rsidR="004C5194">
              <w:rPr>
                <w:rFonts w:ascii="Arial" w:hAnsi="Arial" w:cs="Arial"/>
              </w:rPr>
              <w:t>/oneself</w:t>
            </w:r>
          </w:p>
        </w:tc>
        <w:tc>
          <w:tcPr>
            <w:tcW w:w="2338" w:type="dxa"/>
          </w:tcPr>
          <w:p w14:paraId="20BAA529" w14:textId="3A7370B0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may cause minor injuries or unsafe conditions</w:t>
            </w:r>
          </w:p>
        </w:tc>
        <w:tc>
          <w:tcPr>
            <w:tcW w:w="2475" w:type="dxa"/>
          </w:tcPr>
          <w:p w14:paraId="335EE6E5" w14:textId="3C95EFA7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can result in serious injury, fatality, or unsafe operations</w:t>
            </w:r>
          </w:p>
        </w:tc>
      </w:tr>
      <w:tr w:rsidR="004B38F3" w:rsidRPr="00BF4956" w14:paraId="50897329" w14:textId="77777777" w:rsidTr="002250FD">
        <w:trPr>
          <w:cantSplit/>
        </w:trPr>
        <w:tc>
          <w:tcPr>
            <w:tcW w:w="2337" w:type="dxa"/>
          </w:tcPr>
          <w:p w14:paraId="772BC462" w14:textId="45375F94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Job errors can pose a risk to security of facilities</w:t>
            </w:r>
          </w:p>
        </w:tc>
        <w:tc>
          <w:tcPr>
            <w:tcW w:w="2337" w:type="dxa"/>
          </w:tcPr>
          <w:p w14:paraId="6519D258" w14:textId="70198F71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No access to or impact on secure areas</w:t>
            </w:r>
          </w:p>
        </w:tc>
        <w:tc>
          <w:tcPr>
            <w:tcW w:w="2338" w:type="dxa"/>
          </w:tcPr>
          <w:p w14:paraId="2AA765CB" w14:textId="40EE0696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could cause limited access issues or minor breaches</w:t>
            </w:r>
          </w:p>
        </w:tc>
        <w:tc>
          <w:tcPr>
            <w:tcW w:w="2475" w:type="dxa"/>
          </w:tcPr>
          <w:p w14:paraId="72F8DED4" w14:textId="2E95CBFF" w:rsidR="004B38F3" w:rsidRPr="00BF4956" w:rsidRDefault="005C0FFA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Errors may lead to significant security breaches, unauthorized access, or system compromise</w:t>
            </w:r>
          </w:p>
        </w:tc>
      </w:tr>
    </w:tbl>
    <w:p w14:paraId="76D1C749" w14:textId="5D7010A5" w:rsidR="6EB672D8" w:rsidRPr="00BF4956" w:rsidRDefault="6EB672D8" w:rsidP="6EB672D8">
      <w:pPr>
        <w:rPr>
          <w:rFonts w:ascii="Arial" w:hAnsi="Arial" w:cs="Arial"/>
          <w:b/>
          <w:bCs/>
        </w:rPr>
      </w:pPr>
    </w:p>
    <w:p w14:paraId="5893EAA6" w14:textId="267A83E6" w:rsidR="001C125C" w:rsidRPr="00BF4956" w:rsidRDefault="001C125C" w:rsidP="749AFAFA">
      <w:pPr>
        <w:rPr>
          <w:rFonts w:ascii="Arial" w:hAnsi="Arial" w:cs="Arial"/>
          <w:b/>
          <w:bCs/>
        </w:rPr>
      </w:pPr>
      <w:r w:rsidRPr="00BF4956">
        <w:rPr>
          <w:rFonts w:ascii="Arial" w:hAnsi="Arial" w:cs="Arial"/>
          <w:b/>
          <w:bCs/>
        </w:rPr>
        <w:t>Score Interpretation</w:t>
      </w:r>
    </w:p>
    <w:p w14:paraId="7B7FFA7B" w14:textId="66D6C6C2" w:rsidR="004B38F3" w:rsidRPr="00BF4956" w:rsidRDefault="00EE4B26" w:rsidP="749AFAFA">
      <w:pPr>
        <w:rPr>
          <w:rFonts w:ascii="Arial" w:hAnsi="Arial" w:cs="Arial"/>
        </w:rPr>
      </w:pPr>
      <w:r w:rsidRPr="00BF4956">
        <w:rPr>
          <w:rFonts w:ascii="Arial" w:hAnsi="Arial" w:cs="Arial"/>
        </w:rPr>
        <w:lastRenderedPageBreak/>
        <w:t xml:space="preserve">Total Score: </w:t>
      </w:r>
      <w:r w:rsidR="008D5B9B" w:rsidRPr="00BF4956">
        <w:rPr>
          <w:rFonts w:ascii="Arial" w:hAnsi="Arial" w:cs="Arial"/>
        </w:rPr>
        <w:t>Sum of all 8 parameters (</w:t>
      </w:r>
      <w:r w:rsidR="0093005D" w:rsidRPr="00BF4956">
        <w:rPr>
          <w:rFonts w:ascii="Arial" w:hAnsi="Arial" w:cs="Arial"/>
        </w:rPr>
        <w:t>out of 24</w:t>
      </w:r>
      <w:r w:rsidR="008D5B9B" w:rsidRPr="00BF4956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6236D1" w:rsidRPr="00BF4956" w14:paraId="3D8C82AF" w14:textId="77777777" w:rsidTr="006236D1">
        <w:tc>
          <w:tcPr>
            <w:tcW w:w="3249" w:type="dxa"/>
          </w:tcPr>
          <w:p w14:paraId="33C2A786" w14:textId="2071B4EE" w:rsidR="006236D1" w:rsidRPr="00BF4956" w:rsidRDefault="006236D1" w:rsidP="006236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3250" w:type="dxa"/>
          </w:tcPr>
          <w:p w14:paraId="4DA18D9B" w14:textId="40546F94" w:rsidR="006236D1" w:rsidRPr="00BF4956" w:rsidRDefault="006236D1" w:rsidP="006236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Interpretation</w:t>
            </w:r>
          </w:p>
        </w:tc>
        <w:tc>
          <w:tcPr>
            <w:tcW w:w="3250" w:type="dxa"/>
          </w:tcPr>
          <w:p w14:paraId="49C2498D" w14:textId="082D76CB" w:rsidR="006236D1" w:rsidRPr="00BF4956" w:rsidRDefault="006236D1" w:rsidP="006236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956">
              <w:rPr>
                <w:rFonts w:ascii="Arial" w:hAnsi="Arial" w:cs="Arial"/>
                <w:b/>
                <w:bCs/>
              </w:rPr>
              <w:t>Decision</w:t>
            </w:r>
          </w:p>
        </w:tc>
      </w:tr>
      <w:tr w:rsidR="00B81E3B" w:rsidRPr="00BF4956" w14:paraId="281C292F" w14:textId="77777777" w:rsidTr="006236D1">
        <w:tc>
          <w:tcPr>
            <w:tcW w:w="3249" w:type="dxa"/>
          </w:tcPr>
          <w:p w14:paraId="75DA583D" w14:textId="2DBE9E7C" w:rsidR="00B81E3B" w:rsidRPr="00BF4956" w:rsidRDefault="00B81E3B" w:rsidP="00B81E3B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1</w:t>
            </w:r>
            <w:r w:rsidR="00A36247">
              <w:rPr>
                <w:rFonts w:ascii="Arial" w:hAnsi="Arial" w:cs="Arial"/>
              </w:rPr>
              <w:t>2</w:t>
            </w:r>
            <w:r w:rsidRPr="00BF4956">
              <w:rPr>
                <w:rFonts w:ascii="Arial" w:hAnsi="Arial" w:cs="Arial"/>
              </w:rPr>
              <w:t>-24</w:t>
            </w:r>
          </w:p>
        </w:tc>
        <w:tc>
          <w:tcPr>
            <w:tcW w:w="3250" w:type="dxa"/>
          </w:tcPr>
          <w:p w14:paraId="54781BFD" w14:textId="0450F979" w:rsidR="00B81E3B" w:rsidRPr="00BF4956" w:rsidRDefault="00B81E3B" w:rsidP="00B81E3B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High</w:t>
            </w:r>
            <w:r w:rsidR="00A36247">
              <w:rPr>
                <w:rFonts w:ascii="Arial" w:hAnsi="Arial" w:cs="Arial"/>
              </w:rPr>
              <w:t>/medium</w:t>
            </w:r>
            <w:r w:rsidRPr="00BF4956">
              <w:rPr>
                <w:rFonts w:ascii="Arial" w:hAnsi="Arial" w:cs="Arial"/>
              </w:rPr>
              <w:t xml:space="preserve"> risk exposure, high</w:t>
            </w:r>
            <w:r w:rsidR="00A36247">
              <w:rPr>
                <w:rFonts w:ascii="Arial" w:hAnsi="Arial" w:cs="Arial"/>
              </w:rPr>
              <w:t>/medium</w:t>
            </w:r>
            <w:r w:rsidRPr="00BF4956">
              <w:rPr>
                <w:rFonts w:ascii="Arial" w:hAnsi="Arial" w:cs="Arial"/>
              </w:rPr>
              <w:t>-consequence errors</w:t>
            </w:r>
          </w:p>
        </w:tc>
        <w:tc>
          <w:tcPr>
            <w:tcW w:w="3250" w:type="dxa"/>
          </w:tcPr>
          <w:p w14:paraId="1ED68E41" w14:textId="443ABF2A" w:rsidR="00B81E3B" w:rsidRPr="00BF4956" w:rsidRDefault="00B81E3B" w:rsidP="00B81E3B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SAT Required</w:t>
            </w:r>
          </w:p>
        </w:tc>
      </w:tr>
      <w:tr w:rsidR="003C5F5E" w:rsidRPr="00BF4956" w14:paraId="598CBDAD" w14:textId="77777777" w:rsidTr="006236D1">
        <w:tc>
          <w:tcPr>
            <w:tcW w:w="3249" w:type="dxa"/>
            <w:vMerge w:val="restart"/>
          </w:tcPr>
          <w:p w14:paraId="527E52F5" w14:textId="3F8B514A" w:rsidR="003C5F5E" w:rsidRPr="00BF4956" w:rsidRDefault="00A36247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9-11</w:t>
            </w:r>
          </w:p>
        </w:tc>
        <w:tc>
          <w:tcPr>
            <w:tcW w:w="3250" w:type="dxa"/>
          </w:tcPr>
          <w:p w14:paraId="7399A317" w14:textId="3DA0F4F1" w:rsidR="00636079" w:rsidRDefault="00636079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  <w:r w:rsidRPr="00BF4956">
              <w:rPr>
                <w:rFonts w:ascii="Arial" w:hAnsi="Arial" w:cs="Arial"/>
              </w:rPr>
              <w:t xml:space="preserve"> risk exposure, </w:t>
            </w:r>
            <w:proofErr w:type="gramStart"/>
            <w:r>
              <w:rPr>
                <w:rFonts w:ascii="Arial" w:hAnsi="Arial" w:cs="Arial"/>
              </w:rPr>
              <w:t>Medium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BF4956">
              <w:rPr>
                <w:rFonts w:ascii="Arial" w:hAnsi="Arial" w:cs="Arial"/>
              </w:rPr>
              <w:t>consequence errors</w:t>
            </w:r>
            <w:r w:rsidR="00B234D5">
              <w:rPr>
                <w:rFonts w:ascii="Arial" w:hAnsi="Arial" w:cs="Arial"/>
              </w:rPr>
              <w:t xml:space="preserve"> that need to be analyz</w:t>
            </w:r>
            <w:r w:rsidR="00EA3CA7">
              <w:rPr>
                <w:rFonts w:ascii="Arial" w:hAnsi="Arial" w:cs="Arial"/>
              </w:rPr>
              <w:t>ed a</w:t>
            </w:r>
            <w:r w:rsidR="00F0150A">
              <w:rPr>
                <w:rFonts w:ascii="Arial" w:hAnsi="Arial" w:cs="Arial"/>
              </w:rPr>
              <w:t>t</w:t>
            </w:r>
            <w:r w:rsidR="00EA3CA7">
              <w:rPr>
                <w:rFonts w:ascii="Arial" w:hAnsi="Arial" w:cs="Arial"/>
              </w:rPr>
              <w:t xml:space="preserve"> Task Level</w:t>
            </w:r>
          </w:p>
          <w:p w14:paraId="2B848CCA" w14:textId="77777777" w:rsidR="00636079" w:rsidRDefault="00636079" w:rsidP="00B81E3B">
            <w:pPr>
              <w:rPr>
                <w:rFonts w:ascii="Arial" w:hAnsi="Arial" w:cs="Arial"/>
              </w:rPr>
            </w:pPr>
          </w:p>
          <w:p w14:paraId="5341639C" w14:textId="0BD32905" w:rsidR="003C5F5E" w:rsidRPr="00BF4956" w:rsidRDefault="003C5F5E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Analyze Moderate (level 2) scores by visiting Task Analysis in the Training Plan. </w:t>
            </w:r>
          </w:p>
        </w:tc>
        <w:tc>
          <w:tcPr>
            <w:tcW w:w="3250" w:type="dxa"/>
          </w:tcPr>
          <w:p w14:paraId="3B5F1AF0" w14:textId="77777777" w:rsidR="003C5F5E" w:rsidRDefault="003C5F5E" w:rsidP="00B81E3B">
            <w:pPr>
              <w:rPr>
                <w:rFonts w:ascii="Arial" w:hAnsi="Arial" w:cs="Arial"/>
              </w:rPr>
            </w:pPr>
          </w:p>
          <w:p w14:paraId="71E1756A" w14:textId="77777777" w:rsidR="003C5F5E" w:rsidRDefault="003C5F5E" w:rsidP="00B81E3B">
            <w:pPr>
              <w:rPr>
                <w:rFonts w:ascii="Arial" w:hAnsi="Arial" w:cs="Arial"/>
              </w:rPr>
            </w:pPr>
          </w:p>
          <w:p w14:paraId="6514003F" w14:textId="77777777" w:rsidR="003C5F5E" w:rsidRDefault="003C5F5E" w:rsidP="00B81E3B">
            <w:pPr>
              <w:rPr>
                <w:rFonts w:ascii="Arial" w:hAnsi="Arial" w:cs="Arial"/>
              </w:rPr>
            </w:pPr>
          </w:p>
          <w:p w14:paraId="64C5F2A6" w14:textId="77777777" w:rsidR="003C5F5E" w:rsidRDefault="003C5F5E" w:rsidP="00B81E3B">
            <w:pPr>
              <w:rPr>
                <w:rFonts w:ascii="Arial" w:hAnsi="Arial" w:cs="Arial"/>
              </w:rPr>
            </w:pPr>
          </w:p>
          <w:p w14:paraId="0D3EEF83" w14:textId="77777777" w:rsidR="00C74C98" w:rsidRDefault="00C74C98" w:rsidP="00B81E3B">
            <w:pPr>
              <w:rPr>
                <w:rFonts w:ascii="Arial" w:hAnsi="Arial" w:cs="Arial"/>
              </w:rPr>
            </w:pPr>
          </w:p>
          <w:p w14:paraId="0E973303" w14:textId="1F31F98B" w:rsidR="003C5F5E" w:rsidRPr="00BF4956" w:rsidRDefault="003C5F5E" w:rsidP="00B81E3B">
            <w:pPr>
              <w:rPr>
                <w:rFonts w:ascii="Arial" w:hAnsi="Arial" w:cs="Arial"/>
              </w:rPr>
            </w:pPr>
          </w:p>
        </w:tc>
      </w:tr>
      <w:tr w:rsidR="00225144" w:rsidRPr="00BF4956" w14:paraId="141AC21F" w14:textId="77777777" w:rsidTr="006236D1">
        <w:tc>
          <w:tcPr>
            <w:tcW w:w="3249" w:type="dxa"/>
            <w:vMerge/>
          </w:tcPr>
          <w:p w14:paraId="2F111FE3" w14:textId="77777777" w:rsidR="00225144" w:rsidRPr="00BF4956" w:rsidRDefault="00225144" w:rsidP="00B81E3B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14:paraId="3F01261A" w14:textId="72F9753F" w:rsidR="00225144" w:rsidRDefault="00225144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3C1DF9">
              <w:rPr>
                <w:rFonts w:ascii="Arial" w:hAnsi="Arial" w:cs="Arial"/>
              </w:rPr>
              <w:t>relevant</w:t>
            </w:r>
            <w:r>
              <w:rPr>
                <w:rFonts w:ascii="Arial" w:hAnsi="Arial" w:cs="Arial"/>
              </w:rPr>
              <w:t xml:space="preserve"> task</w:t>
            </w:r>
            <w:r w:rsidR="003C1DF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3C1DF9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rated as Train or Overtrain</w:t>
            </w:r>
          </w:p>
        </w:tc>
        <w:tc>
          <w:tcPr>
            <w:tcW w:w="3250" w:type="dxa"/>
          </w:tcPr>
          <w:p w14:paraId="2A1F76BC" w14:textId="5B3F0630" w:rsidR="00225144" w:rsidRDefault="00225144" w:rsidP="00B81E3B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SAT Required</w:t>
            </w:r>
          </w:p>
        </w:tc>
      </w:tr>
      <w:tr w:rsidR="003C5F5E" w:rsidRPr="00BF4956" w14:paraId="79B8397C" w14:textId="77777777" w:rsidTr="006236D1">
        <w:tc>
          <w:tcPr>
            <w:tcW w:w="3249" w:type="dxa"/>
            <w:vMerge/>
          </w:tcPr>
          <w:p w14:paraId="0755698C" w14:textId="176A9B56" w:rsidR="003C5F5E" w:rsidRPr="00BF4956" w:rsidRDefault="003C5F5E" w:rsidP="00B81E3B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14:paraId="72BECF36" w14:textId="2C4FF809" w:rsidR="003C5F5E" w:rsidRPr="00BF4956" w:rsidRDefault="003C5F5E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3C1DF9">
              <w:rPr>
                <w:rFonts w:ascii="Arial" w:hAnsi="Arial" w:cs="Arial"/>
              </w:rPr>
              <w:t>relevant tasks</w:t>
            </w:r>
            <w:r>
              <w:rPr>
                <w:rFonts w:ascii="Arial" w:hAnsi="Arial" w:cs="Arial"/>
              </w:rPr>
              <w:t xml:space="preserve"> are rated as No Train (Difficulty is Low and Frequency is High)</w:t>
            </w:r>
          </w:p>
        </w:tc>
        <w:tc>
          <w:tcPr>
            <w:tcW w:w="3250" w:type="dxa"/>
          </w:tcPr>
          <w:p w14:paraId="1D204308" w14:textId="5CA03CE7" w:rsidR="003C5F5E" w:rsidRPr="00BF4956" w:rsidRDefault="003C5F5E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SAT</w:t>
            </w:r>
          </w:p>
        </w:tc>
      </w:tr>
      <w:tr w:rsidR="00461797" w:rsidRPr="00BF4956" w14:paraId="7CD0AD21" w14:textId="77777777" w:rsidTr="006236D1">
        <w:tc>
          <w:tcPr>
            <w:tcW w:w="3249" w:type="dxa"/>
          </w:tcPr>
          <w:p w14:paraId="4DA54F5B" w14:textId="1609979D" w:rsidR="00461797" w:rsidRPr="00BF4956" w:rsidRDefault="00461797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3250" w:type="dxa"/>
          </w:tcPr>
          <w:p w14:paraId="59E234EB" w14:textId="416B1706" w:rsidR="00461797" w:rsidRDefault="00C81B4F" w:rsidP="00B81E3B">
            <w:pPr>
              <w:rPr>
                <w:rFonts w:ascii="Arial" w:hAnsi="Arial" w:cs="Arial"/>
              </w:rPr>
            </w:pPr>
            <w:r w:rsidRPr="00BF4956">
              <w:rPr>
                <w:rFonts w:ascii="Arial" w:hAnsi="Arial" w:cs="Arial"/>
              </w:rPr>
              <w:t>Low risk, minimal exposure, error unlikely to have significant consequences</w:t>
            </w:r>
          </w:p>
        </w:tc>
        <w:tc>
          <w:tcPr>
            <w:tcW w:w="3250" w:type="dxa"/>
          </w:tcPr>
          <w:p w14:paraId="5614F390" w14:textId="2545C887" w:rsidR="00461797" w:rsidRDefault="003A0D9E" w:rsidP="00B8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SAT</w:t>
            </w:r>
          </w:p>
        </w:tc>
      </w:tr>
    </w:tbl>
    <w:p w14:paraId="5AE50361" w14:textId="77777777" w:rsidR="00A2499A" w:rsidRPr="00BF4956" w:rsidRDefault="00A2499A">
      <w:pPr>
        <w:rPr>
          <w:rFonts w:ascii="Arial" w:hAnsi="Arial" w:cs="Arial"/>
        </w:rPr>
      </w:pPr>
    </w:p>
    <w:p w14:paraId="1FB4A2B7" w14:textId="4DDA8E13" w:rsidR="003D1E81" w:rsidRPr="00BF4956" w:rsidRDefault="004C66BD">
      <w:pPr>
        <w:rPr>
          <w:rFonts w:ascii="Arial" w:hAnsi="Arial" w:cs="Arial"/>
        </w:rPr>
      </w:pPr>
      <w:r>
        <w:rPr>
          <w:rFonts w:ascii="Arial" w:hAnsi="Arial" w:cs="Arial"/>
        </w:rPr>
        <w:t>Regardless of the total score, a</w:t>
      </w:r>
      <w:r w:rsidR="009E1F41" w:rsidRPr="00BF4956">
        <w:rPr>
          <w:rFonts w:ascii="Arial" w:hAnsi="Arial" w:cs="Arial"/>
        </w:rPr>
        <w:t>ny</w:t>
      </w:r>
      <w:r w:rsidR="00634F39" w:rsidRPr="00BF4956">
        <w:rPr>
          <w:rFonts w:ascii="Arial" w:hAnsi="Arial" w:cs="Arial"/>
        </w:rPr>
        <w:t xml:space="preserve"> score of </w:t>
      </w:r>
      <w:r w:rsidR="00634F39" w:rsidRPr="00BF4956">
        <w:rPr>
          <w:rFonts w:ascii="Arial" w:hAnsi="Arial" w:cs="Arial"/>
          <w:i/>
          <w:iCs/>
        </w:rPr>
        <w:t xml:space="preserve">High (3) </w:t>
      </w:r>
      <w:r w:rsidR="00634F39" w:rsidRPr="00BF4956">
        <w:rPr>
          <w:rFonts w:ascii="Arial" w:hAnsi="Arial" w:cs="Arial"/>
        </w:rPr>
        <w:t>in</w:t>
      </w:r>
      <w:r w:rsidR="00ED72B8" w:rsidRPr="00BF4956">
        <w:rPr>
          <w:rFonts w:ascii="Arial" w:hAnsi="Arial" w:cs="Arial"/>
        </w:rPr>
        <w:t xml:space="preserve"> any</w:t>
      </w:r>
      <w:r w:rsidR="00634F39" w:rsidRPr="00BF4956">
        <w:rPr>
          <w:rFonts w:ascii="Arial" w:hAnsi="Arial" w:cs="Arial"/>
        </w:rPr>
        <w:t xml:space="preserve"> </w:t>
      </w:r>
      <w:r w:rsidR="00634F39" w:rsidRPr="00BF4956">
        <w:rPr>
          <w:rFonts w:ascii="Arial" w:hAnsi="Arial" w:cs="Arial"/>
          <w:i/>
          <w:iCs/>
        </w:rPr>
        <w:t>Position Consequence of Error</w:t>
      </w:r>
      <w:r w:rsidR="00ED72B8" w:rsidRPr="00BF4956">
        <w:rPr>
          <w:rFonts w:ascii="Arial" w:hAnsi="Arial" w:cs="Arial"/>
        </w:rPr>
        <w:t xml:space="preserve"> category </w:t>
      </w:r>
      <w:r w:rsidR="009E1F41" w:rsidRPr="00BF4956">
        <w:rPr>
          <w:rFonts w:ascii="Arial" w:hAnsi="Arial" w:cs="Arial"/>
        </w:rPr>
        <w:t xml:space="preserve">also </w:t>
      </w:r>
      <w:r w:rsidR="00ED72B8" w:rsidRPr="00BF4956">
        <w:rPr>
          <w:rFonts w:ascii="Arial" w:hAnsi="Arial" w:cs="Arial"/>
        </w:rPr>
        <w:t xml:space="preserve">puts the role under the category </w:t>
      </w:r>
      <w:r w:rsidR="00ED72B8" w:rsidRPr="00BF4956">
        <w:rPr>
          <w:rFonts w:ascii="Arial" w:hAnsi="Arial" w:cs="Arial"/>
          <w:i/>
          <w:iCs/>
        </w:rPr>
        <w:t>SAT Required</w:t>
      </w:r>
      <w:r w:rsidR="00ED72B8" w:rsidRPr="00BF4956">
        <w:rPr>
          <w:rFonts w:ascii="Arial" w:hAnsi="Arial" w:cs="Arial"/>
        </w:rPr>
        <w:t>.</w:t>
      </w:r>
    </w:p>
    <w:sectPr w:rsidR="003D1E81" w:rsidRPr="00BF4956" w:rsidSect="00D51FA6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F3"/>
    <w:rsid w:val="00003368"/>
    <w:rsid w:val="00047E54"/>
    <w:rsid w:val="00074DD5"/>
    <w:rsid w:val="000B2291"/>
    <w:rsid w:val="000D490A"/>
    <w:rsid w:val="000D7B65"/>
    <w:rsid w:val="000E0DC0"/>
    <w:rsid w:val="00133939"/>
    <w:rsid w:val="00137F10"/>
    <w:rsid w:val="00143005"/>
    <w:rsid w:val="00177635"/>
    <w:rsid w:val="00182D9D"/>
    <w:rsid w:val="00193F87"/>
    <w:rsid w:val="001A2D83"/>
    <w:rsid w:val="001B4089"/>
    <w:rsid w:val="001C125C"/>
    <w:rsid w:val="001D78F9"/>
    <w:rsid w:val="001E0F93"/>
    <w:rsid w:val="00203A0A"/>
    <w:rsid w:val="002075D3"/>
    <w:rsid w:val="0021227A"/>
    <w:rsid w:val="00213FB3"/>
    <w:rsid w:val="002250FD"/>
    <w:rsid w:val="00225144"/>
    <w:rsid w:val="0025253A"/>
    <w:rsid w:val="0025539A"/>
    <w:rsid w:val="00284361"/>
    <w:rsid w:val="002940A3"/>
    <w:rsid w:val="002A3CD6"/>
    <w:rsid w:val="002D3C3A"/>
    <w:rsid w:val="002E24B2"/>
    <w:rsid w:val="002E7AB3"/>
    <w:rsid w:val="00301F02"/>
    <w:rsid w:val="0034204C"/>
    <w:rsid w:val="003428D6"/>
    <w:rsid w:val="0034637F"/>
    <w:rsid w:val="00356D30"/>
    <w:rsid w:val="003918F7"/>
    <w:rsid w:val="003A0D9E"/>
    <w:rsid w:val="003A0EF0"/>
    <w:rsid w:val="003A270F"/>
    <w:rsid w:val="003A5030"/>
    <w:rsid w:val="003C1DF9"/>
    <w:rsid w:val="003C5F5E"/>
    <w:rsid w:val="003D1E81"/>
    <w:rsid w:val="0043069C"/>
    <w:rsid w:val="00461797"/>
    <w:rsid w:val="00480130"/>
    <w:rsid w:val="004B38F3"/>
    <w:rsid w:val="004C5194"/>
    <w:rsid w:val="004C66BD"/>
    <w:rsid w:val="00503765"/>
    <w:rsid w:val="0053393B"/>
    <w:rsid w:val="0054030F"/>
    <w:rsid w:val="005454D1"/>
    <w:rsid w:val="00577AD5"/>
    <w:rsid w:val="005859E3"/>
    <w:rsid w:val="00595E6F"/>
    <w:rsid w:val="005A0DA7"/>
    <w:rsid w:val="005C0FFA"/>
    <w:rsid w:val="006236D1"/>
    <w:rsid w:val="00630E47"/>
    <w:rsid w:val="00634F39"/>
    <w:rsid w:val="00636079"/>
    <w:rsid w:val="00666672"/>
    <w:rsid w:val="00671B07"/>
    <w:rsid w:val="00690044"/>
    <w:rsid w:val="006969D5"/>
    <w:rsid w:val="006C4889"/>
    <w:rsid w:val="006F00B9"/>
    <w:rsid w:val="007032AC"/>
    <w:rsid w:val="0070475B"/>
    <w:rsid w:val="00712B40"/>
    <w:rsid w:val="007147E3"/>
    <w:rsid w:val="00760F33"/>
    <w:rsid w:val="00783146"/>
    <w:rsid w:val="00784605"/>
    <w:rsid w:val="007861D7"/>
    <w:rsid w:val="007A0137"/>
    <w:rsid w:val="007F59C1"/>
    <w:rsid w:val="00816981"/>
    <w:rsid w:val="008244E7"/>
    <w:rsid w:val="008247B5"/>
    <w:rsid w:val="00867482"/>
    <w:rsid w:val="008A4ED8"/>
    <w:rsid w:val="008D5B9B"/>
    <w:rsid w:val="008E371E"/>
    <w:rsid w:val="008F27C5"/>
    <w:rsid w:val="00910258"/>
    <w:rsid w:val="0093005D"/>
    <w:rsid w:val="00931707"/>
    <w:rsid w:val="00935225"/>
    <w:rsid w:val="00940408"/>
    <w:rsid w:val="00972669"/>
    <w:rsid w:val="0098484F"/>
    <w:rsid w:val="00986960"/>
    <w:rsid w:val="009D4DCA"/>
    <w:rsid w:val="009E1F41"/>
    <w:rsid w:val="009F26FD"/>
    <w:rsid w:val="00A07BA0"/>
    <w:rsid w:val="00A2499A"/>
    <w:rsid w:val="00A272F2"/>
    <w:rsid w:val="00A323EB"/>
    <w:rsid w:val="00A36247"/>
    <w:rsid w:val="00A43FD0"/>
    <w:rsid w:val="00A61865"/>
    <w:rsid w:val="00A72C17"/>
    <w:rsid w:val="00A74D9C"/>
    <w:rsid w:val="00A90F38"/>
    <w:rsid w:val="00AB21D4"/>
    <w:rsid w:val="00AD3CD9"/>
    <w:rsid w:val="00AD6200"/>
    <w:rsid w:val="00AE2523"/>
    <w:rsid w:val="00AE2D04"/>
    <w:rsid w:val="00B103BA"/>
    <w:rsid w:val="00B1183C"/>
    <w:rsid w:val="00B15F25"/>
    <w:rsid w:val="00B217CE"/>
    <w:rsid w:val="00B234D5"/>
    <w:rsid w:val="00B63F44"/>
    <w:rsid w:val="00B81E3B"/>
    <w:rsid w:val="00B93357"/>
    <w:rsid w:val="00BA7736"/>
    <w:rsid w:val="00BA7C36"/>
    <w:rsid w:val="00BC5908"/>
    <w:rsid w:val="00BE77FC"/>
    <w:rsid w:val="00BF4956"/>
    <w:rsid w:val="00C37A56"/>
    <w:rsid w:val="00C6562C"/>
    <w:rsid w:val="00C67FC7"/>
    <w:rsid w:val="00C74C98"/>
    <w:rsid w:val="00C75D41"/>
    <w:rsid w:val="00C81B4F"/>
    <w:rsid w:val="00C91BD5"/>
    <w:rsid w:val="00C951BB"/>
    <w:rsid w:val="00CA3283"/>
    <w:rsid w:val="00CA41AC"/>
    <w:rsid w:val="00CC3A87"/>
    <w:rsid w:val="00CE02A8"/>
    <w:rsid w:val="00CE1036"/>
    <w:rsid w:val="00D00A0E"/>
    <w:rsid w:val="00D31498"/>
    <w:rsid w:val="00D51FA6"/>
    <w:rsid w:val="00D57C1F"/>
    <w:rsid w:val="00D64233"/>
    <w:rsid w:val="00D65E94"/>
    <w:rsid w:val="00DC7443"/>
    <w:rsid w:val="00E001DF"/>
    <w:rsid w:val="00E03021"/>
    <w:rsid w:val="00E1499D"/>
    <w:rsid w:val="00E20AB2"/>
    <w:rsid w:val="00E310A3"/>
    <w:rsid w:val="00E50E53"/>
    <w:rsid w:val="00E556A1"/>
    <w:rsid w:val="00E93992"/>
    <w:rsid w:val="00EA3CA7"/>
    <w:rsid w:val="00EA58A5"/>
    <w:rsid w:val="00EA6B59"/>
    <w:rsid w:val="00ED72B8"/>
    <w:rsid w:val="00EE4B26"/>
    <w:rsid w:val="00EE5DD8"/>
    <w:rsid w:val="00EF0AB7"/>
    <w:rsid w:val="00F0150A"/>
    <w:rsid w:val="00F20AF5"/>
    <w:rsid w:val="00F305B2"/>
    <w:rsid w:val="00F82D4C"/>
    <w:rsid w:val="00FE08B9"/>
    <w:rsid w:val="4172D60D"/>
    <w:rsid w:val="6EB672D8"/>
    <w:rsid w:val="749AF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8C27"/>
  <w15:chartTrackingRefBased/>
  <w15:docId w15:val="{9CA6B01A-0797-4D56-82CD-4C0DEA62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0F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7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2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7A6215C8B4F4FB644C266DDBA46EC" ma:contentTypeVersion="21" ma:contentTypeDescription="Create a new document." ma:contentTypeScope="" ma:versionID="ca1cd58ba17977c15a569e9f0db67a00">
  <xsd:schema xmlns:xsd="http://www.w3.org/2001/XMLSchema" xmlns:xs="http://www.w3.org/2001/XMLSchema" xmlns:p="http://schemas.microsoft.com/office/2006/metadata/properties" xmlns:ns2="c4d81da5-c1b8-440d-9f98-2885453dbdc2" xmlns:ns3="f2558647-1856-48fd-80ea-acf6e8e8c081" targetNamespace="http://schemas.microsoft.com/office/2006/metadata/properties" ma:root="true" ma:fieldsID="f164eb7f76d24ed2e0ac76bb1c32358a" ns2:_="" ns3:_="">
    <xsd:import namespace="c4d81da5-c1b8-440d-9f98-2885453dbdc2"/>
    <xsd:import namespace="f2558647-1856-48fd-80ea-acf6e8e8c081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source_x0020_Type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Category" minOccurs="0"/>
                <xsd:element ref="ns2:Department" minOccurs="0"/>
                <xsd:element ref="ns2:MediaServiceObjectDetectorVersions" minOccurs="0"/>
                <xsd:element ref="ns2:Topic" minOccurs="0"/>
                <xsd:element ref="ns3:Program_x0020_Area_x0020__x0028_HRD_x0029_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1da5-c1b8-440d-9f98-2885453dbdc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description="The Owner is the Department that owns this document" ma:list="{c4d81da5-c1b8-440d-9f98-2885453dbdc2}" ma:internalName="Owner" ma:showField="Title">
      <xsd:simpleType>
        <xsd:restriction base="dms:Lookup"/>
      </xsd:simpleType>
    </xsd:element>
    <xsd:element name="Resource_x0020_Type" ma:index="9" ma:displayName="Resource Type" ma:format="Dropdown" ma:internalName="Resource_x0020_Type">
      <xsd:simpleType>
        <xsd:restriction base="dms:Choice">
          <xsd:enumeration value="Presentation"/>
          <xsd:enumeration value="Training Material"/>
          <xsd:enumeration value="Reference Material"/>
          <xsd:enumeration value="Form"/>
          <xsd:enumeration value="Other"/>
          <xsd:enumeration value="Management System Document"/>
          <xsd:enumeration value="Legacy"/>
          <xsd:enumeration value="Minutes"/>
          <xsd:enumeration value="Report"/>
          <xsd:enumeration value="Plan/Schedule"/>
          <xsd:enumeration value="Dashboard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15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16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" ma:index="18" nillable="true" ma:displayName="Area" ma:format="Dropdown" ma:internalName="Topic">
      <xsd:simpleType>
        <xsd:restriction base="dms:Choice">
          <xsd:enumeration value="Safety and Compliance"/>
          <xsd:enumeration value="Group specific"/>
          <xsd:enumeration value="Human Resources"/>
          <xsd:enumeration value="IT and Software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e3b54c-c226-4f74-9573-cd9558e4d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58647-1856-48fd-80ea-acf6e8e8c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rogram_x0020_Area_x0020__x0028_HRD_x0029_" ma:index="19" nillable="true" ma:displayName="Program Area (HRD)" ma:format="Dropdown" ma:internalName="Program_x0020_Area_x0020__x0028_HRD_x0029_">
      <xsd:simpleType>
        <xsd:restriction base="dms:Choice">
          <xsd:enumeration value="HR Programs"/>
          <xsd:enumeration value="Recruitment &amp; On boarding"/>
          <xsd:enumeration value="Student Programs"/>
          <xsd:enumeration value="People Development"/>
          <xsd:enumeration value="Training &amp; Development"/>
          <xsd:enumeration value="Payroll &amp; Benefits"/>
        </xsd:restriction>
      </xsd:simpleType>
    </xsd:element>
    <xsd:element name="TaxCatchAll" ma:index="26" nillable="true" ma:displayName="Taxonomy Catch All Column" ma:hidden="true" ma:list="{61c80821-f050-4788-85c3-4ce6ebff22b1}" ma:internalName="TaxCatchAll" ma:showField="CatchAllData" ma:web="f2558647-1856-48fd-80ea-acf6e8e8c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Area_x0020__x0028_HRD_x0029_ xmlns="f2558647-1856-48fd-80ea-acf6e8e8c081" xsi:nil="true"/>
    <Resource_x0020_Type xmlns="c4d81da5-c1b8-440d-9f98-2885453dbdc2">Reference Material</Resource_x0020_Type>
    <Category xmlns="c4d81da5-c1b8-440d-9f98-2885453dbdc2" xsi:nil="true"/>
    <lcf76f155ced4ddcb4097134ff3c332f xmlns="c4d81da5-c1b8-440d-9f98-2885453dbdc2">
      <Terms xmlns="http://schemas.microsoft.com/office/infopath/2007/PartnerControls"/>
    </lcf76f155ced4ddcb4097134ff3c332f>
    <Department xmlns="c4d81da5-c1b8-440d-9f98-2885453dbdc2" xsi:nil="true"/>
    <TaxCatchAll xmlns="f2558647-1856-48fd-80ea-acf6e8e8c081" xsi:nil="true"/>
    <Owner xmlns="c4d81da5-c1b8-440d-9f98-2885453dbdc2" xsi:nil="true"/>
    <Topic xmlns="c4d81da5-c1b8-440d-9f98-2885453dbdc2">Human Resources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ECD88-6F08-47B4-8DF9-90844FE40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1da5-c1b8-440d-9f98-2885453dbdc2"/>
    <ds:schemaRef ds:uri="f2558647-1856-48fd-80ea-acf6e8e8c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C7ACD-7F2D-4B0C-A47E-2E40E813F7BB}">
  <ds:schemaRefs>
    <ds:schemaRef ds:uri="http://schemas.microsoft.com/office/2006/metadata/properties"/>
    <ds:schemaRef ds:uri="http://schemas.microsoft.com/office/infopath/2007/PartnerControls"/>
    <ds:schemaRef ds:uri="f2558647-1856-48fd-80ea-acf6e8e8c081"/>
    <ds:schemaRef ds:uri="c4d81da5-c1b8-440d-9f98-2885453dbdc2"/>
  </ds:schemaRefs>
</ds:datastoreItem>
</file>

<file path=customXml/itemProps3.xml><?xml version="1.0" encoding="utf-8"?>
<ds:datastoreItem xmlns:ds="http://schemas.openxmlformats.org/officeDocument/2006/customXml" ds:itemID="{CD853FF7-BC2C-4E38-BE1A-920E6749E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3650</Characters>
  <Application>Microsoft Office Word</Application>
  <DocSecurity>0</DocSecurity>
  <Lines>209</Lines>
  <Paragraphs>79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Aguila</dc:creator>
  <cp:keywords/>
  <dc:description/>
  <cp:lastModifiedBy>Oliver Stelzer</cp:lastModifiedBy>
  <cp:revision>2</cp:revision>
  <dcterms:created xsi:type="dcterms:W3CDTF">2026-03-19T18:12:00Z</dcterms:created>
  <dcterms:modified xsi:type="dcterms:W3CDTF">2026-03-19T18:12:00Z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0x010100A9F7A6215C8B4F4FB644C266DDBA46EC</vt:lpwstr>
  </property>
  <property fmtid="{D5CDD505-2E9C-101B-9397-08002B2CF9AE}" pid="3" name="MediaServiceImageTags">
    <vt:lpwstr/>
  </property>
</Properties>
</file>